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115F" w14:textId="45C31AA8" w:rsidR="006D19CD" w:rsidRPr="006D19CD" w:rsidRDefault="004F14AE" w:rsidP="006D19CD">
      <w:pPr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F14AE">
        <w:rPr>
          <w:b/>
          <w:bCs/>
          <w:sz w:val="24"/>
          <w:szCs w:val="24"/>
          <w:u w:val="single"/>
        </w:rPr>
        <w:t>Domáce vzdelávanie</w:t>
      </w:r>
    </w:p>
    <w:p w14:paraId="45E7387C" w14:textId="77777777" w:rsidR="006D19CD" w:rsidRPr="006D19CD" w:rsidRDefault="006D19CD" w:rsidP="00483E9F">
      <w:r w:rsidRPr="006D19CD">
        <w:t>Milí rodičia,</w:t>
      </w:r>
    </w:p>
    <w:p w14:paraId="526ED81E" w14:textId="77777777" w:rsidR="006D19CD" w:rsidRPr="006D19CD" w:rsidRDefault="006D19CD" w:rsidP="006D19CD">
      <w:r w:rsidRPr="006D19CD">
        <w:t>s radosťou by sme Vás chceli informovať, že naša škola ponúka možnosť individuálneho vzdelávania Vašich detí v domácom prostredí. Ak sa rozhodnete pre túto formu vzdelávania, môžeme Vám poskytnúť zázemie podľa ustanovení Zákona č. 245/2008 § 23.</w:t>
      </w:r>
    </w:p>
    <w:p w14:paraId="0165E665" w14:textId="77777777" w:rsidR="006D19CD" w:rsidRPr="006D19CD" w:rsidRDefault="006D19CD" w:rsidP="006D19CD">
      <w:r w:rsidRPr="006D19CD">
        <w:t>Tento zákon umožňuje vzdelávanie, ktoré sa realizuje bez pravidelnej účasti na vyučovaní v škole, čo zahŕňa aj možnosť domáceho vzdelávania. Tento prístup k vzdelávaniu umožňuje individuálny prístup k potrebám a štýlu učenia Vašich detí, pričom sa môžete spoliehať na podporu a usmernenie zo strany našich kvalifikovaných pedagogických pracovníkov.</w:t>
      </w:r>
    </w:p>
    <w:p w14:paraId="3D446EF5" w14:textId="77777777" w:rsidR="006D19CD" w:rsidRPr="006D19CD" w:rsidRDefault="006D19CD" w:rsidP="006D19CD">
      <w:r w:rsidRPr="006D19CD">
        <w:t>Je pre nás dôležité, aby sa Vaše dieťa cítilo podporované a aby malo možnosť rozvíjať svoj potenciál v prostredí, ktoré mu najviac vyhovuje. Veríme, že individuálne vzdelávanie v domácom prostredí môže poskytnúť Vašim deťom vhodný a podnetný rámec pre ich osobnostný a akademický rozvoj.</w:t>
      </w:r>
    </w:p>
    <w:p w14:paraId="056184AD" w14:textId="77777777" w:rsidR="006D19CD" w:rsidRPr="006D19CD" w:rsidRDefault="006D19CD" w:rsidP="006D19CD">
      <w:r w:rsidRPr="006D19CD">
        <w:t>Ak máte záujem o túto možnosť vzdelávania pre Vaše dieťa, neváhajte nás kontaktovať pre ďalšie informácie a konzultácie. Radi Vám poskytneme všetky potrebné informácie a pomôžeme Vám pri vytváraní individuálneho vzdelávacieho plánu pre Vaše dieťa.</w:t>
      </w:r>
    </w:p>
    <w:p w14:paraId="092B8D5C" w14:textId="77CEDCB2" w:rsidR="006D19CD" w:rsidRPr="006D19CD" w:rsidRDefault="006D19CD" w:rsidP="006D19CD">
      <w:r>
        <w:t xml:space="preserve">S pozdravom a prianím všetkého dobrého </w:t>
      </w:r>
    </w:p>
    <w:p w14:paraId="66DAB1D9" w14:textId="0D3719FE" w:rsidR="006D19CD" w:rsidRPr="006D19CD" w:rsidRDefault="006D19CD" w:rsidP="006D19CD">
      <w:r>
        <w:t>Mgr. Martina Striežencová</w:t>
      </w:r>
    </w:p>
    <w:p w14:paraId="6EE5D135" w14:textId="77777777" w:rsidR="006D19CD" w:rsidRPr="006D19CD" w:rsidRDefault="006D19CD" w:rsidP="006D19CD">
      <w:r w:rsidRPr="006D19CD">
        <w:t>riaditeľka školy </w:t>
      </w:r>
    </w:p>
    <w:p w14:paraId="64739B57" w14:textId="1A9E1059" w:rsidR="006D19CD" w:rsidRPr="006D19CD" w:rsidRDefault="006D19CD" w:rsidP="004F14AE">
      <w:pPr>
        <w:numPr>
          <w:ilvl w:val="0"/>
          <w:numId w:val="1"/>
        </w:numPr>
      </w:pPr>
      <w:r w:rsidRPr="006D19CD">
        <w:rPr>
          <w:b/>
          <w:bCs/>
        </w:rPr>
        <w:t>Ako postupovať?</w:t>
      </w:r>
    </w:p>
    <w:p w14:paraId="421B3FEF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rPr>
          <w:b/>
          <w:bCs/>
          <w:u w:val="single"/>
        </w:rPr>
        <w:t>zapísať dieťa do kmeňovej školy,</w:t>
      </w:r>
      <w:r w:rsidRPr="006D19CD">
        <w:rPr>
          <w:b/>
          <w:bCs/>
        </w:rPr>
        <w:t> </w:t>
      </w:r>
      <w:r w:rsidRPr="006D19CD">
        <w:t>ktorá deklaruje prijímanie žiakov aj na takúto formu vzdelávania, nie je nevyhnutné, aby to bolo v mieste bydliska dieťaťa -  </w:t>
      </w:r>
      <w:r w:rsidRPr="006D19CD">
        <w:rPr>
          <w:b/>
          <w:bCs/>
          <w:i/>
          <w:iCs/>
        </w:rPr>
        <w:t>my takouto školou sme, </w:t>
      </w:r>
    </w:p>
    <w:p w14:paraId="2A7079CF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keď je dieťa na školu prijaté,</w:t>
      </w:r>
      <w:r w:rsidRPr="006D19CD">
        <w:rPr>
          <w:b/>
          <w:bCs/>
        </w:rPr>
        <w:t> podať žiadosť o individuálne vzdelávanie,</w:t>
      </w:r>
      <w:r w:rsidRPr="006D19CD">
        <w:t> </w:t>
      </w:r>
      <w:r w:rsidRPr="006D19CD">
        <w:rPr>
          <w:b/>
          <w:bCs/>
        </w:rPr>
        <w:t>ktorej súčasťou je:</w:t>
      </w:r>
    </w:p>
    <w:p w14:paraId="37FDC6B4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kópia dokladu o vzdelaní rodiča, resp. garanta,</w:t>
      </w:r>
    </w:p>
    <w:p w14:paraId="1DBCAC54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individuálny výchovno-vzdelávací plán,</w:t>
      </w:r>
    </w:p>
    <w:p w14:paraId="6A2BCA2F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zoznam učebných zdrojov, z ktorých sa dieťa bude učiť,</w:t>
      </w:r>
    </w:p>
    <w:p w14:paraId="2CF86BB4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popis materiálnych podmienok pre vzdelávanie.</w:t>
      </w:r>
    </w:p>
    <w:p w14:paraId="5148B12E" w14:textId="77777777" w:rsidR="006D19CD" w:rsidRPr="006D19CD" w:rsidRDefault="006D19CD" w:rsidP="006D19CD">
      <w:r w:rsidRPr="006D19CD">
        <w:t>• riaditeľ školy </w:t>
      </w:r>
      <w:r w:rsidRPr="006D19CD">
        <w:rPr>
          <w:b/>
          <w:bCs/>
        </w:rPr>
        <w:t>vydá rozhodnutie o prijatí žiaka </w:t>
      </w:r>
      <w:r w:rsidRPr="006D19CD">
        <w:t>na vzdelávanie a </w:t>
      </w:r>
      <w:r w:rsidRPr="006D19CD">
        <w:rPr>
          <w:b/>
          <w:bCs/>
        </w:rPr>
        <w:t>o povolení individuálneho vzdelávania</w:t>
      </w:r>
      <w:r w:rsidRPr="006D19CD">
        <w:t>.</w:t>
      </w:r>
    </w:p>
    <w:p w14:paraId="6CC214EA" w14:textId="77777777" w:rsidR="006D19CD" w:rsidRPr="006D19CD" w:rsidRDefault="006D19CD" w:rsidP="006D19CD">
      <w:r w:rsidRPr="006D19CD">
        <w:t> </w:t>
      </w:r>
    </w:p>
    <w:p w14:paraId="6CA941BA" w14:textId="77777777" w:rsidR="006D19CD" w:rsidRPr="006D19CD" w:rsidRDefault="006D19CD" w:rsidP="006D19CD">
      <w:r w:rsidRPr="006D19CD">
        <w:rPr>
          <w:b/>
          <w:bCs/>
        </w:rPr>
        <w:t>Rodičom so všetkými uvedenými dokumentami  vieme pomôcť.</w:t>
      </w:r>
    </w:p>
    <w:p w14:paraId="344B6BFD" w14:textId="77777777" w:rsidR="006D19CD" w:rsidRPr="006D19CD" w:rsidRDefault="006D19CD" w:rsidP="006D19CD">
      <w:r w:rsidRPr="006D19CD">
        <w:t> </w:t>
      </w:r>
    </w:p>
    <w:p w14:paraId="4C7AA6A5" w14:textId="77777777" w:rsidR="006D19CD" w:rsidRPr="006D19CD" w:rsidRDefault="006D19CD" w:rsidP="006D19CD">
      <w:r w:rsidRPr="006D19CD">
        <w:rPr>
          <w:b/>
          <w:bCs/>
        </w:rPr>
        <w:t>Individuálne vzdelávanie sa povoľuje v dvoch prípadoch:</w:t>
      </w:r>
    </w:p>
    <w:p w14:paraId="1857EAB3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žiakovi školy, ktorému jeho zdravotný stav neumožňuje účasť na vzdelávaní v škole 245/2008 Z. z., §24, odsek 2, písmeno a);</w:t>
      </w:r>
    </w:p>
    <w:p w14:paraId="7FD397EF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lastRenderedPageBreak/>
        <w:t>žiakovi základnej školy 245/2008 Z. z., §24, odsek 2, písmeno b).</w:t>
      </w:r>
    </w:p>
    <w:p w14:paraId="7378B3E4" w14:textId="77777777" w:rsidR="006D19CD" w:rsidRPr="006D19CD" w:rsidRDefault="006D19CD" w:rsidP="006D19CD">
      <w:r w:rsidRPr="006D19CD">
        <w:rPr>
          <w:b/>
          <w:bCs/>
        </w:rPr>
        <w:t>Škola, podporujúca individuálne vzdelávanie:</w:t>
      </w:r>
    </w:p>
    <w:p w14:paraId="789A2CA2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je garantom kvality individuálneho vzdelávania, ktorú si rodič vyberie na základe slobodného výberu;</w:t>
      </w:r>
    </w:p>
    <w:p w14:paraId="4DAF37F7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plní voči individuálnemu vzdelávaniu kontrolnú funkciu;</w:t>
      </w:r>
    </w:p>
    <w:p w14:paraId="5602D4F9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poskytuje deťom a rodičom potrebné učebné materiály a metodickú podporu;</w:t>
      </w:r>
    </w:p>
    <w:p w14:paraId="45B130EB" w14:textId="77777777" w:rsidR="006D19CD" w:rsidRPr="006D19CD" w:rsidRDefault="006D19CD" w:rsidP="006D19CD">
      <w:pPr>
        <w:numPr>
          <w:ilvl w:val="3"/>
          <w:numId w:val="1"/>
        </w:numPr>
      </w:pPr>
      <w:r w:rsidRPr="006D19CD">
        <w:t>dohliada, aby individuálny vzdelávací program, jeho princípy a ciele boli v súlade s princípmi a cieľmi výchovy ​a vzdelávania podľa školského zákona.</w:t>
      </w:r>
    </w:p>
    <w:p w14:paraId="39AE86C1" w14:textId="77777777" w:rsidR="006D19CD" w:rsidRPr="006D19CD" w:rsidRDefault="006D19CD" w:rsidP="006D19CD">
      <w:r w:rsidRPr="006D19CD">
        <w:t> </w:t>
      </w:r>
    </w:p>
    <w:p w14:paraId="77747CB7" w14:textId="77777777" w:rsidR="006D19CD" w:rsidRPr="006D19CD" w:rsidRDefault="006D19CD" w:rsidP="006D19CD">
      <w:r w:rsidRPr="006D19CD">
        <w:rPr>
          <w:b/>
          <w:bCs/>
        </w:rPr>
        <w:t>AKO PREBIEHA HODNOTENIE?</w:t>
      </w:r>
    </w:p>
    <w:p w14:paraId="4AE17A2E" w14:textId="77777777" w:rsidR="006D19CD" w:rsidRPr="006D19CD" w:rsidRDefault="006D19CD" w:rsidP="006D19CD">
      <w:r w:rsidRPr="006D19CD">
        <w:t>• Žiak, ktorému bolo povolené individuálne vzdelávanie, vykonáva komisionálne skúšky v kmeňovej škole z príslušného učiva každého povinného predmetu za každý polrok.</w:t>
      </w:r>
    </w:p>
    <w:p w14:paraId="471920BC" w14:textId="77777777" w:rsidR="006D19CD" w:rsidRPr="006D19CD" w:rsidRDefault="006D19CD" w:rsidP="006D19CD">
      <w:r w:rsidRPr="006D19CD">
        <w:t>• Na základe výsledkov komisionálnej skúšky škola vydáva vysvedčenie.</w:t>
      </w:r>
    </w:p>
    <w:p w14:paraId="2A09A6F6" w14:textId="77777777" w:rsidR="006D19CD" w:rsidRPr="006D19CD" w:rsidRDefault="006D19CD" w:rsidP="006D19CD">
      <w:r w:rsidRPr="006D19CD">
        <w:t>• Žiak, ktorému bolo povolené individuálne vzdelávanie na základe odporúčania lekára z dôvodu zdravotného znevýhodnenia - nevykonáva komisionálnu skúšku.</w:t>
      </w:r>
    </w:p>
    <w:p w14:paraId="4F56FCF7" w14:textId="77777777" w:rsidR="006D19CD" w:rsidRPr="006D19CD" w:rsidRDefault="006D19CD" w:rsidP="006D19CD">
      <w:r w:rsidRPr="006D19CD">
        <w:rPr>
          <w:b/>
          <w:bCs/>
        </w:rPr>
        <w:t>KOMISIONÁLNE SKÚŠKY</w:t>
      </w:r>
    </w:p>
    <w:p w14:paraId="57336227" w14:textId="07F36535" w:rsidR="006D19CD" w:rsidRPr="006D19CD" w:rsidRDefault="006D19CD" w:rsidP="006D19CD">
      <w:r w:rsidRPr="006D19CD">
        <w:t>• pre žiakov na individuálnom vzdelávaní sa realizujú v januári a júni, po vzájomnej dohode vieme nastaviť aj iný termín,</w:t>
      </w:r>
      <w:r>
        <w:t xml:space="preserve"> u nás je zvykom každý mesiac</w:t>
      </w:r>
    </w:p>
    <w:p w14:paraId="69494483" w14:textId="77777777" w:rsidR="006D19CD" w:rsidRPr="006D19CD" w:rsidRDefault="006D19CD" w:rsidP="006D19CD">
      <w:r w:rsidRPr="006D19CD">
        <w:t>• forma: </w:t>
      </w:r>
      <w:r w:rsidRPr="006D19CD">
        <w:rPr>
          <w:b/>
          <w:bCs/>
        </w:rPr>
        <w:t>pracovné portfólio</w:t>
      </w:r>
      <w:r w:rsidRPr="006D19CD">
        <w:t> +</w:t>
      </w:r>
      <w:r w:rsidRPr="006D19CD">
        <w:rPr>
          <w:b/>
          <w:bCs/>
        </w:rPr>
        <w:t> rozhovor</w:t>
      </w:r>
      <w:r w:rsidRPr="006D19CD">
        <w:t>, </w:t>
      </w:r>
      <w:r w:rsidRPr="006D19CD">
        <w:rPr>
          <w:b/>
          <w:bCs/>
        </w:rPr>
        <w:t>samostatná práca (test)</w:t>
      </w:r>
      <w:r w:rsidRPr="006D19CD">
        <w:t>,</w:t>
      </w:r>
    </w:p>
    <w:p w14:paraId="3AD64755" w14:textId="77777777" w:rsidR="006D19CD" w:rsidRPr="006D19CD" w:rsidRDefault="006D19CD" w:rsidP="006D19CD">
      <w:r w:rsidRPr="006D19CD">
        <w:t>• portfólio si žiak vytvára počas celého polroka.</w:t>
      </w:r>
    </w:p>
    <w:p w14:paraId="497B5761" w14:textId="77777777" w:rsidR="006D19CD" w:rsidRPr="006D19CD" w:rsidRDefault="006D19CD" w:rsidP="006D19CD">
      <w:r w:rsidRPr="006D19CD">
        <w:rPr>
          <w:b/>
          <w:bCs/>
        </w:rPr>
        <w:t>OBSAH PORTFÓLIA</w:t>
      </w:r>
    </w:p>
    <w:p w14:paraId="1BD3F35D" w14:textId="77777777" w:rsidR="006D19CD" w:rsidRPr="006D19CD" w:rsidRDefault="006D19CD" w:rsidP="006D19CD">
      <w:r w:rsidRPr="006D19CD">
        <w:rPr>
          <w:b/>
          <w:bCs/>
        </w:rPr>
        <w:t>Tvorí ho súbor prác, projektov</w:t>
      </w:r>
      <w:r w:rsidRPr="006D19CD">
        <w:t> alebo </w:t>
      </w:r>
      <w:r w:rsidRPr="006D19CD">
        <w:rPr>
          <w:b/>
          <w:bCs/>
        </w:rPr>
        <w:t>fotodokumentácia</w:t>
      </w:r>
      <w:r w:rsidRPr="006D19CD">
        <w:t> z priebehu vzdelávania. Je súčasťou preskúšania. </w:t>
      </w:r>
    </w:p>
    <w:p w14:paraId="3E5D7AB0" w14:textId="77777777" w:rsidR="00414112" w:rsidRDefault="00414112"/>
    <w:p w14:paraId="5011729B" w14:textId="22555066" w:rsidR="006D19CD" w:rsidRDefault="006D19CD">
      <w:r>
        <w:t>Čo dieťa u nás dostane:</w:t>
      </w:r>
    </w:p>
    <w:p w14:paraId="4060054E" w14:textId="46716F9E" w:rsidR="006D19CD" w:rsidRDefault="006D19CD" w:rsidP="006D19CD">
      <w:pPr>
        <w:pStyle w:val="Odsekzoznamu"/>
        <w:numPr>
          <w:ilvl w:val="0"/>
          <w:numId w:val="3"/>
        </w:numPr>
      </w:pPr>
      <w:r>
        <w:t>učebnice, pracovné zošity</w:t>
      </w:r>
      <w:r w:rsidR="004F14AE">
        <w:t>, metodické pomôcky, služby podporného tímu</w:t>
      </w:r>
    </w:p>
    <w:p w14:paraId="7BBFBBC3" w14:textId="12885C2F" w:rsidR="006D19CD" w:rsidRDefault="004F14AE" w:rsidP="006D19CD">
      <w:pPr>
        <w:pStyle w:val="Odsekzoznamu"/>
        <w:numPr>
          <w:ilvl w:val="0"/>
          <w:numId w:val="3"/>
        </w:numPr>
      </w:pPr>
      <w:r>
        <w:t>možnosť zúčastňovať sa exkurzií, výletov, kurzov/ lyžiarsky, plavecký, korčuliarsky, in-line korčule/</w:t>
      </w:r>
    </w:p>
    <w:p w14:paraId="35102E72" w14:textId="77777777" w:rsidR="006D19CD" w:rsidRDefault="006D19CD"/>
    <w:p w14:paraId="0538CD96" w14:textId="77777777" w:rsidR="004F14AE" w:rsidRDefault="004F14AE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F23A3F" w14:textId="77777777" w:rsidR="004F14AE" w:rsidRDefault="004F14AE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D49685" w14:textId="77777777" w:rsidR="004F14AE" w:rsidRDefault="004F14AE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E3A5C7" w14:textId="77777777" w:rsidR="004F14AE" w:rsidRDefault="004F14AE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D8FC55" w14:textId="77777777" w:rsidR="004F14AE" w:rsidRDefault="004F14AE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4E65E6" w14:textId="1D5B97BD" w:rsidR="006D19CD" w:rsidRPr="002729A4" w:rsidRDefault="006D19CD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F422EBE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</w:t>
      </w:r>
    </w:p>
    <w:p w14:paraId="47A809F6" w14:textId="77777777" w:rsidR="006D19CD" w:rsidRPr="002729A4" w:rsidRDefault="006D19CD" w:rsidP="006D1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F422EBE">
        <w:rPr>
          <w:rFonts w:ascii="Times New Roman" w:hAnsi="Times New Roman" w:cs="Times New Roman"/>
        </w:rPr>
        <w:t xml:space="preserve">Meno a priezvisko zákonného zástupcu, adresa bydliska, telefonický a e-mailový kontakt </w:t>
      </w:r>
    </w:p>
    <w:p w14:paraId="1493014E" w14:textId="77777777" w:rsidR="006D19CD" w:rsidRPr="002729A4" w:rsidRDefault="006D19CD" w:rsidP="006D19C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E09DE6C" w14:textId="441CE3F1" w:rsidR="006D19CD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Základná škola s materskou školou Kálnica,s.č.385</w:t>
      </w:r>
    </w:p>
    <w:p w14:paraId="1AB1102A" w14:textId="77777777" w:rsidR="006D19CD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</w:p>
    <w:p w14:paraId="5FF7DB36" w14:textId="77777777" w:rsidR="006D19CD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</w:p>
    <w:p w14:paraId="48CF99EB" w14:textId="77777777" w:rsidR="006D19CD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</w:p>
    <w:p w14:paraId="6C7E5C5E" w14:textId="42A1809B" w:rsidR="006D19CD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    Kálnica 385</w:t>
      </w:r>
    </w:p>
    <w:p w14:paraId="6751B75C" w14:textId="582B0E3A" w:rsidR="006D19CD" w:rsidRPr="00402994" w:rsidRDefault="006D19CD" w:rsidP="006D19CD">
      <w:pPr>
        <w:tabs>
          <w:tab w:val="left" w:pos="6390"/>
        </w:tabs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         916 37 Kálnica</w:t>
      </w:r>
    </w:p>
    <w:p w14:paraId="6BA6BE0F" w14:textId="77777777" w:rsidR="006D19CD" w:rsidRPr="00B959AC" w:rsidRDefault="006D19CD" w:rsidP="006D19CD">
      <w:pPr>
        <w:spacing w:line="240" w:lineRule="auto"/>
        <w:rPr>
          <w:b/>
          <w:bCs/>
          <w:sz w:val="23"/>
          <w:szCs w:val="23"/>
        </w:rPr>
      </w:pPr>
      <w:r w:rsidRPr="76D0FF5B">
        <w:rPr>
          <w:rFonts w:ascii="Times New Roman" w:hAnsi="Times New Roman" w:cs="Times New Roman"/>
          <w:b/>
          <w:bCs/>
        </w:rPr>
        <w:t xml:space="preserve">Vec:  </w:t>
      </w:r>
      <w:r w:rsidRPr="76D0FF5B">
        <w:rPr>
          <w:rFonts w:ascii="Times New Roman" w:hAnsi="Times New Roman" w:cs="Times New Roman"/>
          <w:b/>
          <w:bCs/>
          <w:u w:val="single"/>
        </w:rPr>
        <w:t>Žiadosť o povolenie individuálneho vzdelávania</w:t>
      </w:r>
      <w:r w:rsidRPr="76D0FF5B">
        <w:rPr>
          <w:b/>
          <w:bCs/>
          <w:sz w:val="23"/>
          <w:szCs w:val="23"/>
        </w:rPr>
        <w:t xml:space="preserve"> </w:t>
      </w:r>
    </w:p>
    <w:p w14:paraId="76D62F2C" w14:textId="77777777" w:rsidR="006D19CD" w:rsidRPr="00B959AC" w:rsidRDefault="006D19CD" w:rsidP="006D19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959AC">
        <w:rPr>
          <w:rFonts w:ascii="Times New Roman" w:hAnsi="Times New Roman" w:cs="Times New Roman"/>
        </w:rPr>
        <w:t xml:space="preserve">ovoľujem si Vás požiadať o povolenie individuálneho vzdelávania podľa § 24 ods. 2 písm. b) </w:t>
      </w:r>
      <w:r>
        <w:rPr>
          <w:rFonts w:ascii="Times New Roman" w:hAnsi="Times New Roman" w:cs="Times New Roman"/>
        </w:rPr>
        <w:t>š</w:t>
      </w:r>
      <w:r w:rsidRPr="00B959AC">
        <w:rPr>
          <w:rFonts w:ascii="Times New Roman" w:hAnsi="Times New Roman" w:cs="Times New Roman"/>
        </w:rPr>
        <w:t xml:space="preserve">kolského zákona č. 245/2008 Z. z. v znení neskorších predpisov </w:t>
      </w:r>
      <w:r>
        <w:rPr>
          <w:rFonts w:ascii="Times New Roman" w:hAnsi="Times New Roman" w:cs="Times New Roman"/>
        </w:rPr>
        <w:t>pre môjho syna / moju dcéru*</w:t>
      </w:r>
    </w:p>
    <w:p w14:paraId="11DC9037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.............................................................................................................................................</w:t>
      </w:r>
    </w:p>
    <w:p w14:paraId="559550BE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dátum  narodenia:  ..............................................................................................................................................</w:t>
      </w:r>
    </w:p>
    <w:p w14:paraId="5C475CCB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rodné číslo: .........................................................................................................................................................</w:t>
      </w:r>
    </w:p>
    <w:p w14:paraId="38BFB46F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trvalý pobyt: .......................................................................................................................................................</w:t>
      </w:r>
    </w:p>
    <w:p w14:paraId="2D79D440" w14:textId="77777777" w:rsidR="006D19CD" w:rsidRDefault="006D19CD" w:rsidP="006D19CD">
      <w:pPr>
        <w:tabs>
          <w:tab w:val="left" w:pos="4052"/>
        </w:tabs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žiaka / žiačky* ..................... ročníka.</w:t>
      </w:r>
    </w:p>
    <w:p w14:paraId="35D0717E" w14:textId="77777777" w:rsidR="006D19CD" w:rsidRPr="00402994" w:rsidRDefault="006D19CD" w:rsidP="006D19CD">
      <w:pPr>
        <w:spacing w:line="240" w:lineRule="auto"/>
        <w:rPr>
          <w:rFonts w:ascii="Times New Roman" w:hAnsi="Times New Roman" w:cs="Times New Roman"/>
          <w:b/>
          <w:bCs/>
        </w:rPr>
      </w:pPr>
      <w:r w:rsidRPr="00402994">
        <w:rPr>
          <w:rFonts w:ascii="Times New Roman" w:hAnsi="Times New Roman" w:cs="Times New Roman"/>
          <w:b/>
          <w:bCs/>
        </w:rPr>
        <w:t>Dôvody na povolenie individuálneho vzdelávania:</w:t>
      </w:r>
    </w:p>
    <w:p w14:paraId="189ECB3D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1EE79C2F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00B959AC">
        <w:rPr>
          <w:rFonts w:ascii="Times New Roman" w:hAnsi="Times New Roman" w:cs="Times New Roman"/>
        </w:rPr>
        <w:t>Meno a priezvisko fyzickej osoby,</w:t>
      </w:r>
      <w:r>
        <w:rPr>
          <w:rFonts w:ascii="Times New Roman" w:hAnsi="Times New Roman" w:cs="Times New Roman"/>
        </w:rPr>
        <w:t xml:space="preserve">  </w:t>
      </w:r>
      <w:r w:rsidRPr="00B959AC">
        <w:rPr>
          <w:rFonts w:ascii="Times New Roman" w:hAnsi="Times New Roman" w:cs="Times New Roman"/>
        </w:rPr>
        <w:t>ktorá bude uskutočňovať individuálne vzdelávanie:</w:t>
      </w:r>
    </w:p>
    <w:p w14:paraId="365F7351" w14:textId="77777777" w:rsidR="006D19CD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06D7C5C4" w14:textId="77777777" w:rsidR="006D19CD" w:rsidRPr="00B959AC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00B959AC">
        <w:rPr>
          <w:rFonts w:ascii="Times New Roman" w:hAnsi="Times New Roman" w:cs="Times New Roman"/>
        </w:rPr>
        <w:t>Žiadam o povolen</w:t>
      </w:r>
      <w:r>
        <w:rPr>
          <w:rFonts w:ascii="Times New Roman" w:hAnsi="Times New Roman" w:cs="Times New Roman"/>
        </w:rPr>
        <w:t>ie individuálneho vzdelávania na</w:t>
      </w:r>
      <w:r w:rsidRPr="00B959AC">
        <w:rPr>
          <w:rFonts w:ascii="Times New Roman" w:hAnsi="Times New Roman" w:cs="Times New Roman"/>
        </w:rPr>
        <w:t xml:space="preserve"> školský </w:t>
      </w:r>
      <w:r>
        <w:rPr>
          <w:rFonts w:ascii="Times New Roman" w:hAnsi="Times New Roman" w:cs="Times New Roman"/>
        </w:rPr>
        <w:t>rok</w:t>
      </w:r>
      <w:r w:rsidRPr="00B959AC">
        <w:rPr>
          <w:rFonts w:ascii="Times New Roman" w:hAnsi="Times New Roman" w:cs="Times New Roman"/>
        </w:rPr>
        <w:t xml:space="preserve"> / obdobie*: </w:t>
      </w:r>
    </w:p>
    <w:p w14:paraId="1ECAB3CA" w14:textId="77777777" w:rsidR="006D19CD" w:rsidRDefault="006D19CD" w:rsidP="006D19CD">
      <w:pPr>
        <w:spacing w:after="0"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61602013" w14:textId="77777777" w:rsidR="006D19CD" w:rsidRDefault="006D19CD" w:rsidP="006D19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</w:t>
      </w:r>
      <w:r w:rsidRPr="00B959AC">
        <w:rPr>
          <w:rFonts w:ascii="Times New Roman" w:hAnsi="Times New Roman" w:cs="Times New Roman"/>
        </w:rPr>
        <w:t>alšie skutočnosti, ktoré majú vplyv na individuálne vzdelávanie</w:t>
      </w:r>
      <w:r>
        <w:rPr>
          <w:rFonts w:ascii="Times New Roman" w:hAnsi="Times New Roman" w:cs="Times New Roman"/>
        </w:rPr>
        <w:t xml:space="preserve">: </w:t>
      </w:r>
    </w:p>
    <w:p w14:paraId="3FBB74FC" w14:textId="77777777" w:rsidR="006D19CD" w:rsidRDefault="006D19CD" w:rsidP="006D19CD">
      <w:pPr>
        <w:spacing w:after="0"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1583B999" w14:textId="77777777" w:rsidR="006D19CD" w:rsidRDefault="006D19CD" w:rsidP="006D19CD">
      <w:pPr>
        <w:spacing w:after="0" w:line="276" w:lineRule="auto"/>
        <w:rPr>
          <w:rFonts w:ascii="Times New Roman" w:hAnsi="Times New Roman" w:cs="Times New Roman"/>
        </w:rPr>
      </w:pPr>
    </w:p>
    <w:p w14:paraId="7973D215" w14:textId="77777777" w:rsidR="006D19CD" w:rsidRPr="00402994" w:rsidRDefault="006D19CD" w:rsidP="006D19C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02994">
        <w:rPr>
          <w:rFonts w:ascii="Times New Roman" w:hAnsi="Times New Roman" w:cs="Times New Roman"/>
          <w:b/>
          <w:bCs/>
        </w:rPr>
        <w:t>Prílohy žiadosti:</w:t>
      </w:r>
    </w:p>
    <w:p w14:paraId="6B4F75F9" w14:textId="77777777" w:rsidR="006D19CD" w:rsidRPr="00B959AC" w:rsidRDefault="006D19CD" w:rsidP="006D19CD">
      <w:pPr>
        <w:spacing w:after="0" w:line="276" w:lineRule="auto"/>
        <w:rPr>
          <w:rFonts w:ascii="Times New Roman" w:hAnsi="Times New Roman" w:cs="Times New Roman"/>
        </w:rPr>
      </w:pPr>
    </w:p>
    <w:p w14:paraId="626DC585" w14:textId="77777777" w:rsidR="006D19CD" w:rsidRDefault="006D19CD" w:rsidP="006D19C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individuálny vzdelávací program, ktorý obsahuje popis priestorového a materiálno-technického zabezpečenia, podmienok ochrany zdravia individuálne vzdelávaného žiaka, zoznam edukačných publikácií, ktoré budú pri individuálnom vzdelávaní žiaka používané</w:t>
      </w:r>
    </w:p>
    <w:p w14:paraId="283F6718" w14:textId="77777777" w:rsidR="006D19CD" w:rsidRPr="00CA7FA1" w:rsidRDefault="006D19CD" w:rsidP="006D19C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 xml:space="preserve">doklad o splnení kvalifikačných predpokladov fyzickej osoby, ktorá bude uskutočňovať individuálne vzdelávanie </w:t>
      </w:r>
    </w:p>
    <w:p w14:paraId="2362CD27" w14:textId="77777777" w:rsidR="006D19CD" w:rsidRPr="00756842" w:rsidRDefault="006D19CD" w:rsidP="006D19C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>písomný súhlas fyzickej osoby, ktorá bude uskutočňovať individuálne vzdelávanie</w:t>
      </w:r>
    </w:p>
    <w:p w14:paraId="206504F2" w14:textId="77777777" w:rsidR="006D19CD" w:rsidRDefault="006D19CD" w:rsidP="006D19CD">
      <w:pPr>
        <w:pStyle w:val="Odsekzoznamu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60188A">
        <w:rPr>
          <w:rFonts w:ascii="Times New Roman" w:hAnsi="Times New Roman" w:cs="Times New Roman"/>
        </w:rPr>
        <w:t>doklady k ďalším skutočnostiam, ktoré majú vplyv na individuálne vzdelávanie*</w:t>
      </w:r>
      <w:r>
        <w:rPr>
          <w:rFonts w:ascii="Times New Roman" w:hAnsi="Times New Roman" w:cs="Times New Roman"/>
        </w:rPr>
        <w:t>*</w:t>
      </w:r>
    </w:p>
    <w:p w14:paraId="5E7B7F18" w14:textId="77777777" w:rsidR="006D19CD" w:rsidRDefault="006D19CD" w:rsidP="006D19CD">
      <w:pPr>
        <w:pStyle w:val="Odsekzoznamu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</w:t>
      </w:r>
    </w:p>
    <w:p w14:paraId="42C7AAFD" w14:textId="77777777" w:rsidR="006D19CD" w:rsidRDefault="006D19CD" w:rsidP="006D19CD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0F77BA3" w14:textId="77777777" w:rsidR="006D19CD" w:rsidRDefault="006D19CD" w:rsidP="006D19CD">
      <w:pPr>
        <w:tabs>
          <w:tab w:val="left" w:pos="3416"/>
        </w:tabs>
        <w:spacing w:line="240" w:lineRule="auto"/>
        <w:rPr>
          <w:rFonts w:ascii="Times New Roman" w:hAnsi="Times New Roman" w:cs="Times New Roman"/>
        </w:rPr>
      </w:pPr>
      <w:r w:rsidRPr="76D0FF5B">
        <w:rPr>
          <w:rFonts w:ascii="Times New Roman" w:hAnsi="Times New Roman" w:cs="Times New Roman"/>
        </w:rPr>
        <w:t xml:space="preserve">S pozdravom,      </w:t>
      </w:r>
    </w:p>
    <w:p w14:paraId="314ED9E2" w14:textId="77777777" w:rsidR="006D19CD" w:rsidRDefault="006D19CD" w:rsidP="006D19CD">
      <w:pPr>
        <w:spacing w:line="240" w:lineRule="auto"/>
        <w:ind w:left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959AC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 xml:space="preserve">    </w:t>
      </w:r>
      <w:r w:rsidRPr="00B959AC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</w:t>
      </w:r>
    </w:p>
    <w:p w14:paraId="39097963" w14:textId="1B7816CB" w:rsidR="006D19CD" w:rsidRPr="00402994" w:rsidRDefault="00483E9F" w:rsidP="006D19CD">
      <w:pPr>
        <w:spacing w:line="240" w:lineRule="auto"/>
        <w:ind w:left="23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6D19CD" w:rsidRPr="00402994">
        <w:rPr>
          <w:rFonts w:ascii="Times New Roman" w:hAnsi="Times New Roman" w:cs="Times New Roman"/>
          <w:sz w:val="16"/>
          <w:szCs w:val="16"/>
        </w:rPr>
        <w:t xml:space="preserve">(meno a priezvisko otca)                          </w:t>
      </w:r>
      <w:r w:rsidR="006D19CD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D19CD">
        <w:rPr>
          <w:rFonts w:ascii="Times New Roman" w:hAnsi="Times New Roman" w:cs="Times New Roman"/>
          <w:sz w:val="16"/>
          <w:szCs w:val="16"/>
        </w:rPr>
        <w:t xml:space="preserve">    </w:t>
      </w:r>
      <w:r w:rsidR="006D19CD" w:rsidRPr="00402994">
        <w:rPr>
          <w:rFonts w:ascii="Times New Roman" w:hAnsi="Times New Roman" w:cs="Times New Roman"/>
          <w:sz w:val="16"/>
          <w:szCs w:val="16"/>
        </w:rPr>
        <w:t xml:space="preserve"> (meno a priezvisko matky)</w:t>
      </w:r>
    </w:p>
    <w:p w14:paraId="3B82987B" w14:textId="77777777" w:rsidR="006D19CD" w:rsidRPr="00402994" w:rsidRDefault="006D19CD" w:rsidP="006D19CD">
      <w:pPr>
        <w:spacing w:after="0" w:line="240" w:lineRule="auto"/>
        <w:ind w:left="234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zákonný</w:t>
      </w:r>
      <w:r w:rsidRPr="002729A4">
        <w:rPr>
          <w:rFonts w:ascii="Times New Roman" w:hAnsi="Times New Roman" w:cs="Times New Roman"/>
        </w:rPr>
        <w:t xml:space="preserve"> zástupc</w:t>
      </w:r>
      <w:r>
        <w:rPr>
          <w:rFonts w:ascii="Times New Roman" w:hAnsi="Times New Roman" w:cs="Times New Roman"/>
        </w:rPr>
        <w:t>a - otec                            zákonný zástupca – matka</w:t>
      </w:r>
    </w:p>
    <w:p w14:paraId="1C2069D2" w14:textId="77777777" w:rsidR="006D19CD" w:rsidRDefault="006D19CD" w:rsidP="006D19CD">
      <w:pPr>
        <w:spacing w:after="0" w:line="240" w:lineRule="auto"/>
        <w:ind w:left="2340"/>
        <w:rPr>
          <w:rFonts w:ascii="Times New Roman" w:hAnsi="Times New Roman" w:cs="Times New Roman"/>
        </w:rPr>
      </w:pPr>
    </w:p>
    <w:p w14:paraId="22886D8A" w14:textId="77777777" w:rsidR="006D19CD" w:rsidRPr="002729A4" w:rsidRDefault="006D19CD" w:rsidP="006D19CD">
      <w:pPr>
        <w:spacing w:line="240" w:lineRule="auto"/>
        <w:rPr>
          <w:rFonts w:ascii="Times New Roman" w:hAnsi="Times New Roman" w:cs="Times New Roman"/>
        </w:rPr>
      </w:pPr>
      <w:r w:rsidRPr="002729A4">
        <w:rPr>
          <w:rFonts w:ascii="Times New Roman" w:hAnsi="Times New Roman" w:cs="Times New Roman"/>
        </w:rPr>
        <w:t>V ................................................................., dňa .................................</w:t>
      </w:r>
    </w:p>
    <w:p w14:paraId="66DF0F36" w14:textId="77777777" w:rsidR="006D19CD" w:rsidRDefault="006D19CD" w:rsidP="006D19CD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</w:p>
    <w:p w14:paraId="165780C8" w14:textId="77777777" w:rsidR="006D19CD" w:rsidRDefault="006D19CD" w:rsidP="006D19CD">
      <w:pPr>
        <w:spacing w:after="0" w:line="240" w:lineRule="auto"/>
        <w:rPr>
          <w:rFonts w:ascii="Times New Roman" w:hAnsi="Times New Roman" w:cs="Times New Roman"/>
          <w:color w:val="2E74B5" w:themeColor="accent5" w:themeShade="BF"/>
        </w:rPr>
      </w:pPr>
    </w:p>
    <w:p w14:paraId="35F43D4B" w14:textId="77777777" w:rsidR="006D19CD" w:rsidRPr="00402994" w:rsidRDefault="006D19CD" w:rsidP="006D19CD">
      <w:pPr>
        <w:spacing w:after="0" w:line="240" w:lineRule="auto"/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  <w:r w:rsidRPr="00402994">
        <w:rPr>
          <w:rFonts w:ascii="Times New Roman" w:hAnsi="Times New Roman" w:cs="Times New Roman"/>
          <w:color w:val="2E74B5" w:themeColor="accent5" w:themeShade="BF"/>
          <w:sz w:val="12"/>
          <w:szCs w:val="12"/>
        </w:rPr>
        <w:t xml:space="preserve"> *</w:t>
      </w:r>
      <w:proofErr w:type="spellStart"/>
      <w:r w:rsidRPr="00402994">
        <w:rPr>
          <w:rFonts w:ascii="Times New Roman" w:hAnsi="Times New Roman" w:cs="Times New Roman"/>
          <w:color w:val="2E74B5" w:themeColor="accent5" w:themeShade="BF"/>
          <w:sz w:val="12"/>
          <w:szCs w:val="12"/>
        </w:rPr>
        <w:t>nehodiace</w:t>
      </w:r>
      <w:proofErr w:type="spellEnd"/>
      <w:r w:rsidRPr="00402994">
        <w:rPr>
          <w:rFonts w:ascii="Times New Roman" w:hAnsi="Times New Roman" w:cs="Times New Roman"/>
          <w:color w:val="2E74B5" w:themeColor="accent5" w:themeShade="BF"/>
          <w:sz w:val="12"/>
          <w:szCs w:val="12"/>
        </w:rPr>
        <w:t xml:space="preserve"> sa prečiarknite alebo zmažte</w:t>
      </w:r>
    </w:p>
    <w:p w14:paraId="513AA164" w14:textId="75E02868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  <w:r w:rsidRPr="00402994">
        <w:rPr>
          <w:rFonts w:ascii="Times New Roman" w:hAnsi="Times New Roman" w:cs="Times New Roman"/>
          <w:color w:val="2E74B5" w:themeColor="accent5" w:themeShade="BF"/>
          <w:sz w:val="12"/>
          <w:szCs w:val="12"/>
        </w:rPr>
        <w:t>** ak sa vás riadok netýka, text prečiarknite alebo zmažte (vyplňte napr. ak má dieťa špeciálne</w:t>
      </w:r>
    </w:p>
    <w:p w14:paraId="2CFD65BA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184E220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37EA78C7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501E99B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1C18BEE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C29ED02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2AA19F1C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63DC7CEF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6A5D168C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23FE5A87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0BE510BB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69D33E1F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B87D2D5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577B8A5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626739A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34354E6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31280164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5FA2BB6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C43615C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682DB9F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A65E584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F0B8FE6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EF51A99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64B6548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3B8AA321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84A5AFA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1C97770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05F7CCDE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23FEF2F2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AC466BB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A2C193E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410D8E5E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79242145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5339612C" w14:textId="77777777" w:rsidR="006D19CD" w:rsidRDefault="006D19CD" w:rsidP="006D19CD">
      <w:pPr>
        <w:rPr>
          <w:rFonts w:ascii="Times New Roman" w:hAnsi="Times New Roman" w:cs="Times New Roman"/>
          <w:color w:val="2E74B5" w:themeColor="accent5" w:themeShade="BF"/>
          <w:sz w:val="12"/>
          <w:szCs w:val="12"/>
        </w:rPr>
      </w:pPr>
    </w:p>
    <w:p w14:paraId="6A9244F5" w14:textId="77777777" w:rsidR="006D19CD" w:rsidRDefault="006D19CD" w:rsidP="006D19CD"/>
    <w:sectPr w:rsidR="006D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3C1B"/>
    <w:multiLevelType w:val="multilevel"/>
    <w:tmpl w:val="29D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C5ED1"/>
    <w:multiLevelType w:val="hybridMultilevel"/>
    <w:tmpl w:val="8140E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37739">
    <w:abstractNumId w:val="1"/>
  </w:num>
  <w:num w:numId="2" w16cid:durableId="1453282171">
    <w:abstractNumId w:val="0"/>
  </w:num>
  <w:num w:numId="3" w16cid:durableId="28962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CD"/>
    <w:rsid w:val="001E0557"/>
    <w:rsid w:val="002C4422"/>
    <w:rsid w:val="00414112"/>
    <w:rsid w:val="00483E9F"/>
    <w:rsid w:val="004F14AE"/>
    <w:rsid w:val="00631844"/>
    <w:rsid w:val="006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EB74"/>
  <w15:chartTrackingRefBased/>
  <w15:docId w15:val="{9E8108D8-5B27-45D5-9659-596B768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1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1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1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1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1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1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1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1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1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19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19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19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19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19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19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D1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D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1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D1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D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D19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D19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D19C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19C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D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36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59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88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1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58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201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76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88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2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Striežencová</dc:creator>
  <cp:keywords/>
  <dc:description/>
  <cp:lastModifiedBy>Uzivatel</cp:lastModifiedBy>
  <cp:revision>2</cp:revision>
  <dcterms:created xsi:type="dcterms:W3CDTF">2025-03-17T10:52:00Z</dcterms:created>
  <dcterms:modified xsi:type="dcterms:W3CDTF">2025-03-17T14:50:00Z</dcterms:modified>
</cp:coreProperties>
</file>